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4547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jc w:val="center"/>
        <w:rPr>
          <w:rFonts w:ascii="Calibri" w:eastAsia="Calibri" w:hAnsi="Calibri" w:cs="Calibri"/>
          <w:b/>
          <w:color w:val="1F4E79"/>
          <w:sz w:val="27"/>
          <w:szCs w:val="27"/>
        </w:rPr>
      </w:pPr>
      <w:r>
        <w:rPr>
          <w:noProof/>
          <w:color w:val="000000"/>
          <w:lang w:val="en-CA" w:eastAsia="en-CA"/>
        </w:rPr>
        <w:drawing>
          <wp:inline distT="19050" distB="19050" distL="19050" distR="19050" wp14:anchorId="2F2D78DE" wp14:editId="7E82AC38">
            <wp:extent cx="6522719" cy="261823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2719" cy="2618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B59C8">
        <w:rPr>
          <w:rFonts w:ascii="Calibri" w:eastAsia="Calibri" w:hAnsi="Calibri" w:cs="Calibri"/>
          <w:b/>
          <w:color w:val="1F4E79"/>
          <w:sz w:val="27"/>
          <w:szCs w:val="27"/>
        </w:rPr>
        <w:t>Intro Punjabi 11</w:t>
      </w:r>
      <w:r>
        <w:rPr>
          <w:rFonts w:ascii="Calibri" w:eastAsia="Calibri" w:hAnsi="Calibri" w:cs="Calibri"/>
          <w:b/>
          <w:color w:val="1F4E79"/>
          <w:sz w:val="27"/>
          <w:szCs w:val="27"/>
        </w:rPr>
        <w:t xml:space="preserve"> </w:t>
      </w:r>
    </w:p>
    <w:p w14:paraId="206B66D9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 w:line="240" w:lineRule="auto"/>
        <w:ind w:left="354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COURSE OUTLINE </w:t>
      </w:r>
    </w:p>
    <w:p w14:paraId="53555332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07"/>
        <w:rPr>
          <w:b/>
          <w:color w:val="1F4E79"/>
          <w:sz w:val="27"/>
          <w:szCs w:val="27"/>
        </w:rPr>
      </w:pPr>
      <w:r>
        <w:rPr>
          <w:b/>
          <w:color w:val="1F4E79"/>
          <w:sz w:val="27"/>
          <w:szCs w:val="27"/>
          <w:u w:val="single"/>
        </w:rPr>
        <w:t>Overview</w:t>
      </w:r>
      <w:r>
        <w:rPr>
          <w:b/>
          <w:color w:val="1F4E79"/>
          <w:sz w:val="27"/>
          <w:szCs w:val="27"/>
        </w:rPr>
        <w:t xml:space="preserve"> </w:t>
      </w:r>
    </w:p>
    <w:p w14:paraId="0B658021" w14:textId="2BCA049C" w:rsidR="00A1528D" w:rsidRPr="00530CA0" w:rsidRDefault="002A5AFE" w:rsidP="00530C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>Introductory Punjabi 11</w:t>
      </w:r>
      <w:r w:rsidR="00A1528D" w:rsidRPr="00A1528D">
        <w:rPr>
          <w:sz w:val="24"/>
          <w:szCs w:val="24"/>
        </w:rPr>
        <w:t xml:space="preserve"> is an introductory level course introducing students to the </w:t>
      </w:r>
      <w:r w:rsidR="00FB002F" w:rsidRPr="00E15F73">
        <w:rPr>
          <w:sz w:val="24"/>
          <w:szCs w:val="24"/>
        </w:rPr>
        <w:t>Gurmukhi</w:t>
      </w:r>
      <w:r w:rsidR="00FB002F">
        <w:rPr>
          <w:sz w:val="24"/>
          <w:szCs w:val="24"/>
        </w:rPr>
        <w:t xml:space="preserve"> script (</w:t>
      </w:r>
      <w:r w:rsidR="00A1528D" w:rsidRPr="00A1528D">
        <w:rPr>
          <w:sz w:val="24"/>
          <w:szCs w:val="24"/>
        </w:rPr>
        <w:t>Punj</w:t>
      </w:r>
      <w:r w:rsidR="00FB002F">
        <w:rPr>
          <w:sz w:val="24"/>
          <w:szCs w:val="24"/>
        </w:rPr>
        <w:t xml:space="preserve">abi alphabet), learning </w:t>
      </w:r>
      <w:r w:rsidR="00A1528D" w:rsidRPr="00A1528D">
        <w:rPr>
          <w:sz w:val="24"/>
          <w:szCs w:val="24"/>
        </w:rPr>
        <w:t>different vowe</w:t>
      </w:r>
      <w:r w:rsidR="00FB002F">
        <w:rPr>
          <w:sz w:val="24"/>
          <w:szCs w:val="24"/>
        </w:rPr>
        <w:t xml:space="preserve">l symbols and modifying symbols, and progressing to </w:t>
      </w:r>
      <w:r w:rsidR="00A1528D" w:rsidRPr="00A1528D">
        <w:rPr>
          <w:sz w:val="24"/>
          <w:szCs w:val="24"/>
        </w:rPr>
        <w:t xml:space="preserve">develop the ability to read and write simple Punjabi passages. </w:t>
      </w:r>
      <w:r w:rsidR="00FB002F">
        <w:rPr>
          <w:sz w:val="24"/>
          <w:szCs w:val="24"/>
        </w:rPr>
        <w:t>By the end of the year, students will be able to read simple Punjabi texts, and communicate with others in written form and orally at a basic level</w:t>
      </w:r>
      <w:r w:rsidR="00530CA0">
        <w:rPr>
          <w:sz w:val="24"/>
          <w:szCs w:val="24"/>
        </w:rPr>
        <w:t xml:space="preserve"> </w:t>
      </w:r>
      <w:r w:rsidR="00530CA0">
        <w:rPr>
          <w:color w:val="000000"/>
          <w:sz w:val="24"/>
          <w:szCs w:val="24"/>
          <w:highlight w:val="white"/>
        </w:rPr>
        <w:t>using multiple</w:t>
      </w:r>
      <w:r w:rsidR="00530CA0">
        <w:rPr>
          <w:color w:val="000000"/>
          <w:sz w:val="24"/>
          <w:szCs w:val="24"/>
        </w:rPr>
        <w:t xml:space="preserve"> </w:t>
      </w:r>
      <w:r w:rsidR="00530CA0">
        <w:rPr>
          <w:color w:val="000000"/>
          <w:sz w:val="24"/>
          <w:szCs w:val="24"/>
          <w:highlight w:val="white"/>
        </w:rPr>
        <w:t>language-learning platforms</w:t>
      </w:r>
      <w:r w:rsidR="00530CA0">
        <w:rPr>
          <w:sz w:val="24"/>
          <w:szCs w:val="24"/>
        </w:rPr>
        <w:t xml:space="preserve">. </w:t>
      </w:r>
      <w:r w:rsidR="00FB74E7">
        <w:rPr>
          <w:sz w:val="24"/>
          <w:szCs w:val="24"/>
        </w:rPr>
        <w:t>Students will develop communicative competencies in the four strands of language learning: reading, writing, listening, and speaking.</w:t>
      </w:r>
      <w:r w:rsidR="00E15F73">
        <w:rPr>
          <w:sz w:val="24"/>
          <w:szCs w:val="24"/>
        </w:rPr>
        <w:t xml:space="preserve"> </w:t>
      </w:r>
      <w:r w:rsidR="00FB002F">
        <w:rPr>
          <w:sz w:val="24"/>
          <w:szCs w:val="24"/>
        </w:rPr>
        <w:t xml:space="preserve">Another component to the course is the </w:t>
      </w:r>
      <w:r w:rsidR="00A1528D" w:rsidRPr="00A1528D">
        <w:rPr>
          <w:sz w:val="24"/>
          <w:szCs w:val="24"/>
        </w:rPr>
        <w:t xml:space="preserve">opportunity to learn about </w:t>
      </w:r>
      <w:r w:rsidR="00FB002F">
        <w:rPr>
          <w:sz w:val="24"/>
          <w:szCs w:val="24"/>
        </w:rPr>
        <w:t>Punjabi culture, cultural</w:t>
      </w:r>
      <w:r w:rsidR="00A1528D" w:rsidRPr="00A1528D">
        <w:rPr>
          <w:sz w:val="24"/>
          <w:szCs w:val="24"/>
        </w:rPr>
        <w:t xml:space="preserve"> perspe</w:t>
      </w:r>
      <w:r w:rsidR="00530CA0">
        <w:rPr>
          <w:sz w:val="24"/>
          <w:szCs w:val="24"/>
        </w:rPr>
        <w:t xml:space="preserve">ctives, and traditions. </w:t>
      </w:r>
      <w:r w:rsidR="00A1528D">
        <w:rPr>
          <w:color w:val="000000"/>
          <w:sz w:val="24"/>
          <w:szCs w:val="24"/>
          <w:highlight w:val="white"/>
        </w:rPr>
        <w:t xml:space="preserve">Students’ progress </w:t>
      </w:r>
      <w:r w:rsidR="00530CA0">
        <w:rPr>
          <w:color w:val="000000"/>
          <w:sz w:val="24"/>
          <w:szCs w:val="24"/>
          <w:highlight w:val="white"/>
        </w:rPr>
        <w:t>on the various platforms in this online course</w:t>
      </w:r>
      <w:r w:rsidR="00A1528D">
        <w:rPr>
          <w:color w:val="000000"/>
          <w:sz w:val="24"/>
          <w:szCs w:val="24"/>
          <w:highlight w:val="white"/>
        </w:rPr>
        <w:t xml:space="preserve"> will be assessed </w:t>
      </w:r>
      <w:r w:rsidR="00530CA0">
        <w:rPr>
          <w:color w:val="000000"/>
          <w:sz w:val="24"/>
          <w:szCs w:val="24"/>
          <w:highlight w:val="white"/>
        </w:rPr>
        <w:t xml:space="preserve">throughout the course and students will be assessed on </w:t>
      </w:r>
      <w:r w:rsidR="00A1528D">
        <w:rPr>
          <w:color w:val="000000"/>
          <w:sz w:val="24"/>
          <w:szCs w:val="24"/>
          <w:highlight w:val="white"/>
        </w:rPr>
        <w:t>written and spoken</w:t>
      </w:r>
      <w:r w:rsidR="00530CA0">
        <w:rPr>
          <w:color w:val="000000"/>
          <w:sz w:val="24"/>
          <w:szCs w:val="24"/>
        </w:rPr>
        <w:t xml:space="preserve"> Punjabi </w:t>
      </w:r>
      <w:r w:rsidR="00A1528D">
        <w:rPr>
          <w:color w:val="000000"/>
          <w:sz w:val="24"/>
          <w:szCs w:val="24"/>
          <w:highlight w:val="white"/>
        </w:rPr>
        <w:t>as well</w:t>
      </w:r>
      <w:r w:rsidR="00530CA0">
        <w:rPr>
          <w:color w:val="000000"/>
          <w:sz w:val="24"/>
          <w:szCs w:val="24"/>
          <w:highlight w:val="white"/>
        </w:rPr>
        <w:t xml:space="preserve"> as their understanding of Punjabi texts</w:t>
      </w:r>
      <w:r w:rsidR="00A1528D">
        <w:rPr>
          <w:color w:val="000000"/>
          <w:sz w:val="24"/>
          <w:szCs w:val="24"/>
          <w:highlight w:val="white"/>
        </w:rPr>
        <w:t xml:space="preserve">. </w:t>
      </w:r>
      <w:r w:rsidR="00A1528D">
        <w:rPr>
          <w:color w:val="000000"/>
          <w:sz w:val="24"/>
          <w:szCs w:val="24"/>
        </w:rPr>
        <w:t xml:space="preserve"> </w:t>
      </w:r>
    </w:p>
    <w:p w14:paraId="4FF13918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15"/>
        <w:rPr>
          <w:b/>
          <w:color w:val="1F4E79"/>
          <w:sz w:val="27"/>
          <w:szCs w:val="27"/>
        </w:rPr>
      </w:pPr>
      <w:r>
        <w:rPr>
          <w:b/>
          <w:color w:val="1F4E79"/>
          <w:sz w:val="27"/>
          <w:szCs w:val="27"/>
          <w:u w:val="single"/>
        </w:rPr>
        <w:t>Big Ideas</w:t>
      </w:r>
      <w:r>
        <w:rPr>
          <w:b/>
          <w:color w:val="1F4E79"/>
          <w:sz w:val="27"/>
          <w:szCs w:val="27"/>
        </w:rPr>
        <w:t xml:space="preserve"> </w:t>
      </w:r>
    </w:p>
    <w:p w14:paraId="74283604" w14:textId="77777777" w:rsidR="00A12D25" w:rsidRDefault="00A12D25" w:rsidP="00A1528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31" w:lineRule="auto"/>
        <w:ind w:right="1024"/>
        <w:rPr>
          <w:color w:val="000000"/>
          <w:sz w:val="24"/>
          <w:szCs w:val="24"/>
        </w:rPr>
      </w:pPr>
      <w:r w:rsidRPr="00A12D25">
        <w:rPr>
          <w:color w:val="000000"/>
          <w:sz w:val="24"/>
          <w:szCs w:val="24"/>
        </w:rPr>
        <w:t>Listening and viewing with intent supports our acquisition and understanding of a new language.</w:t>
      </w:r>
    </w:p>
    <w:p w14:paraId="45AD31A9" w14:textId="77777777" w:rsidR="00A12D25" w:rsidRDefault="00A12D25" w:rsidP="00A1528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31" w:lineRule="auto"/>
        <w:ind w:right="10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Stories </w:t>
      </w:r>
      <w:r w:rsidRPr="00A12D25">
        <w:rPr>
          <w:color w:val="000000"/>
          <w:sz w:val="24"/>
          <w:szCs w:val="24"/>
        </w:rPr>
        <w:t>give us unique ways to understand and reflect on meaning.</w:t>
      </w:r>
    </w:p>
    <w:p w14:paraId="20570420" w14:textId="77777777" w:rsidR="00A12D25" w:rsidRDefault="00A12D25" w:rsidP="00A1528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31" w:lineRule="auto"/>
        <w:ind w:right="1024"/>
        <w:rPr>
          <w:color w:val="000000"/>
          <w:sz w:val="24"/>
          <w:szCs w:val="24"/>
        </w:rPr>
      </w:pPr>
      <w:r w:rsidRPr="00A12D25">
        <w:rPr>
          <w:color w:val="000000"/>
          <w:sz w:val="24"/>
          <w:szCs w:val="24"/>
        </w:rPr>
        <w:t>Expressing ourselves and engaging in conversation in a new language require courage, risk taking, and perseverance.</w:t>
      </w:r>
    </w:p>
    <w:p w14:paraId="45461066" w14:textId="77777777" w:rsidR="00A12D25" w:rsidRDefault="00A12D25" w:rsidP="00A1528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31" w:lineRule="auto"/>
        <w:ind w:right="10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Cultural expression </w:t>
      </w:r>
      <w:r w:rsidRPr="00A12D25">
        <w:rPr>
          <w:color w:val="000000"/>
          <w:sz w:val="24"/>
          <w:szCs w:val="24"/>
        </w:rPr>
        <w:t>can take many different forms.</w:t>
      </w:r>
    </w:p>
    <w:p w14:paraId="2BEFEB8D" w14:textId="77777777" w:rsidR="00A1528D" w:rsidRDefault="00A12D25" w:rsidP="00A1528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31" w:lineRule="auto"/>
        <w:ind w:right="1024"/>
        <w:rPr>
          <w:color w:val="000000"/>
          <w:sz w:val="24"/>
          <w:szCs w:val="24"/>
        </w:rPr>
      </w:pPr>
      <w:r w:rsidRPr="00A12D25">
        <w:rPr>
          <w:color w:val="000000"/>
          <w:sz w:val="24"/>
          <w:szCs w:val="24"/>
        </w:rPr>
        <w:t>Acquiring a new language provides a unique opportunity to access and interact with diverse communities.</w:t>
      </w:r>
      <w:r w:rsidR="00A1528D" w:rsidRPr="00A70743">
        <w:rPr>
          <w:color w:val="000000"/>
          <w:sz w:val="24"/>
          <w:szCs w:val="24"/>
        </w:rPr>
        <w:t xml:space="preserve"> </w:t>
      </w:r>
    </w:p>
    <w:p w14:paraId="2E2C598A" w14:textId="77777777" w:rsidR="00A1528D" w:rsidRDefault="00A12D25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1" w:lineRule="auto"/>
        <w:ind w:left="97" w:right="866" w:firstLine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Learning </w:t>
      </w:r>
      <w:r w:rsidRPr="00A12D25">
        <w:rPr>
          <w:color w:val="000000"/>
          <w:sz w:val="24"/>
          <w:szCs w:val="24"/>
        </w:rPr>
        <w:t>Standards</w:t>
      </w:r>
      <w:r>
        <w:rPr>
          <w:color w:val="000000"/>
          <w:sz w:val="24"/>
          <w:szCs w:val="24"/>
        </w:rPr>
        <w:t xml:space="preserve">, including </w:t>
      </w:r>
      <w:r w:rsidR="00A1528D" w:rsidRPr="00A12D25">
        <w:rPr>
          <w:color w:val="000000"/>
          <w:sz w:val="24"/>
          <w:szCs w:val="24"/>
        </w:rPr>
        <w:t>Curricular</w:t>
      </w:r>
      <w:r w:rsidR="00A1528D">
        <w:rPr>
          <w:color w:val="000000"/>
          <w:sz w:val="24"/>
          <w:szCs w:val="24"/>
        </w:rPr>
        <w:t xml:space="preserve"> Competencies and Content </w:t>
      </w:r>
      <w:r>
        <w:rPr>
          <w:color w:val="000000"/>
          <w:sz w:val="24"/>
          <w:szCs w:val="24"/>
        </w:rPr>
        <w:t xml:space="preserve">can be located here: </w:t>
      </w:r>
      <w:r w:rsidR="001B676B" w:rsidRPr="001B676B">
        <w:t xml:space="preserve"> </w:t>
      </w:r>
      <w:hyperlink r:id="rId6" w:history="1">
        <w:r w:rsidR="001B676B" w:rsidRPr="00EF57D0">
          <w:rPr>
            <w:rStyle w:val="Hyperlink"/>
            <w:sz w:val="24"/>
            <w:szCs w:val="24"/>
          </w:rPr>
          <w:t>https://curriculum.gov.bc.ca/sites/curriculum.gov.bc.ca/files/curriculum/languag</w:t>
        </w:r>
        <w:r w:rsidR="001B676B" w:rsidRPr="00EF57D0">
          <w:rPr>
            <w:rStyle w:val="Hyperlink"/>
            <w:sz w:val="24"/>
            <w:szCs w:val="24"/>
          </w:rPr>
          <w:lastRenderedPageBreak/>
          <w:t>es/en_languages_11_punjabi-introductory_elab.pdf</w:t>
        </w:r>
      </w:hyperlink>
      <w:r w:rsidR="001B676B">
        <w:rPr>
          <w:sz w:val="24"/>
          <w:szCs w:val="24"/>
        </w:rPr>
        <w:t xml:space="preserve">. </w:t>
      </w:r>
    </w:p>
    <w:p w14:paraId="7673CA63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7" w:lineRule="auto"/>
        <w:ind w:left="113" w:right="1025" w:hanging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course is designed to support all students by applyi</w:t>
      </w:r>
      <w:r w:rsidR="00A12D25">
        <w:rPr>
          <w:color w:val="000000"/>
          <w:sz w:val="24"/>
          <w:szCs w:val="24"/>
        </w:rPr>
        <w:t xml:space="preserve">ng the following First Peoples </w:t>
      </w:r>
      <w:r>
        <w:rPr>
          <w:color w:val="000000"/>
          <w:sz w:val="24"/>
          <w:szCs w:val="24"/>
        </w:rPr>
        <w:t xml:space="preserve">Principles of Learning: </w:t>
      </w:r>
    </w:p>
    <w:p w14:paraId="53282E33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67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Learning ultimately supports the well-being of the self. </w:t>
      </w:r>
    </w:p>
    <w:p w14:paraId="47814C7E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67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Learning is holistic, reflexive, reflective, experiential, and relational. </w:t>
      </w:r>
    </w:p>
    <w:p w14:paraId="4660622D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67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Learning involves recognizing the consequences of one’s actions. </w:t>
      </w:r>
    </w:p>
    <w:p w14:paraId="7AA34178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67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Learning involves patience and time. </w:t>
      </w:r>
    </w:p>
    <w:p w14:paraId="641392BA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67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Learning requires exploration of one’s identity.</w:t>
      </w:r>
    </w:p>
    <w:p w14:paraId="5DF0C641" w14:textId="77777777" w:rsidR="00A12D25" w:rsidRPr="00A70743" w:rsidRDefault="00A12D25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67"/>
        <w:rPr>
          <w:color w:val="000000"/>
          <w:sz w:val="24"/>
          <w:szCs w:val="24"/>
        </w:rPr>
      </w:pPr>
    </w:p>
    <w:p w14:paraId="78F29FE6" w14:textId="77777777" w:rsidR="00A12D25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/>
        <w:rPr>
          <w:b/>
          <w:color w:val="1F4E79"/>
          <w:sz w:val="24"/>
          <w:szCs w:val="24"/>
          <w:u w:val="single"/>
        </w:rPr>
      </w:pPr>
      <w:r w:rsidRPr="00A12D25">
        <w:rPr>
          <w:b/>
          <w:color w:val="1F4E79"/>
          <w:sz w:val="27"/>
          <w:szCs w:val="27"/>
          <w:u w:val="single"/>
        </w:rPr>
        <w:t>Prerequisites</w:t>
      </w:r>
      <w:r>
        <w:rPr>
          <w:b/>
          <w:color w:val="1F4E79"/>
          <w:sz w:val="24"/>
          <w:szCs w:val="24"/>
          <w:u w:val="single"/>
        </w:rPr>
        <w:t xml:space="preserve">: </w:t>
      </w:r>
    </w:p>
    <w:p w14:paraId="0EED372A" w14:textId="77777777" w:rsidR="00A12D25" w:rsidRDefault="00A12D25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/>
        <w:rPr>
          <w:b/>
          <w:color w:val="1F4E79"/>
          <w:sz w:val="24"/>
          <w:szCs w:val="24"/>
          <w:u w:val="single"/>
        </w:rPr>
      </w:pPr>
    </w:p>
    <w:p w14:paraId="3D69FC6E" w14:textId="77777777" w:rsidR="00A1528D" w:rsidRDefault="00A12D25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None.</w:t>
      </w:r>
    </w:p>
    <w:p w14:paraId="2605EE51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108"/>
        <w:rPr>
          <w:b/>
          <w:color w:val="1F4E79"/>
          <w:sz w:val="27"/>
          <w:szCs w:val="27"/>
        </w:rPr>
      </w:pPr>
      <w:r>
        <w:rPr>
          <w:b/>
          <w:color w:val="1F4E79"/>
          <w:sz w:val="27"/>
          <w:szCs w:val="27"/>
          <w:u w:val="single"/>
        </w:rPr>
        <w:t>Course Content and Timelines</w:t>
      </w:r>
      <w:r>
        <w:rPr>
          <w:b/>
          <w:color w:val="1F4E79"/>
          <w:sz w:val="27"/>
          <w:szCs w:val="27"/>
        </w:rPr>
        <w:t xml:space="preserve"> </w:t>
      </w:r>
    </w:p>
    <w:p w14:paraId="4C94518C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00" w:right="1459"/>
        <w:rPr>
          <w:color w:val="000000"/>
          <w:sz w:val="24"/>
          <w:szCs w:val="24"/>
        </w:rPr>
      </w:pPr>
    </w:p>
    <w:p w14:paraId="71094392" w14:textId="77777777" w:rsidR="00FB74E7" w:rsidRDefault="00FB74E7" w:rsidP="00FB74E7">
      <w:pPr>
        <w:widowControl w:val="0"/>
        <w:spacing w:before="16" w:line="228" w:lineRule="auto"/>
        <w:ind w:left="119" w:right="1104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timelines suggested are based on a 10-month Fall course occurring September through June. If you are taking a Spring/Summer course (5 months), or joining a course with less time left, you will want to adjust your timing accordingly. </w:t>
      </w:r>
    </w:p>
    <w:p w14:paraId="0B721E78" w14:textId="77777777" w:rsidR="00FB74E7" w:rsidRDefault="00FB74E7" w:rsidP="00FB7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00" w:right="1459"/>
        <w:rPr>
          <w:b/>
          <w:color w:val="000000"/>
          <w:sz w:val="24"/>
          <w:szCs w:val="24"/>
        </w:rPr>
      </w:pPr>
    </w:p>
    <w:p w14:paraId="3407A0C2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115"/>
        <w:rPr>
          <w:b/>
          <w:color w:val="000000"/>
          <w:sz w:val="24"/>
          <w:szCs w:val="24"/>
        </w:rPr>
      </w:pPr>
      <w:r>
        <w:rPr>
          <w:b/>
          <w:color w:val="1F4E79"/>
          <w:sz w:val="27"/>
          <w:szCs w:val="27"/>
        </w:rPr>
        <w:t>Unit 1</w:t>
      </w:r>
      <w:r w:rsidR="00E15F73">
        <w:rPr>
          <w:b/>
          <w:color w:val="1F4E79"/>
          <w:sz w:val="27"/>
          <w:szCs w:val="27"/>
        </w:rPr>
        <w:t xml:space="preserve"> – Introduction to the Punjabi alphabet - </w:t>
      </w:r>
      <w:r w:rsidR="00E15F73" w:rsidRPr="00E15F73">
        <w:rPr>
          <w:b/>
          <w:color w:val="1F4E79"/>
          <w:sz w:val="27"/>
          <w:szCs w:val="27"/>
        </w:rPr>
        <w:t>Gurmukhi</w:t>
      </w:r>
      <w:r>
        <w:rPr>
          <w:b/>
          <w:color w:val="1F4E79"/>
          <w:sz w:val="27"/>
          <w:szCs w:val="27"/>
        </w:rPr>
        <w:t xml:space="preserve"> </w:t>
      </w:r>
      <w:r>
        <w:rPr>
          <w:b/>
          <w:color w:val="000000"/>
          <w:sz w:val="24"/>
          <w:szCs w:val="24"/>
        </w:rPr>
        <w:t xml:space="preserve">(7 weeks) </w:t>
      </w:r>
    </w:p>
    <w:p w14:paraId="23AF110A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b/>
          <w:color w:val="000000"/>
          <w:sz w:val="24"/>
          <w:szCs w:val="24"/>
        </w:rPr>
      </w:pPr>
      <w:r>
        <w:rPr>
          <w:b/>
          <w:color w:val="1F4E79"/>
          <w:sz w:val="27"/>
          <w:szCs w:val="27"/>
        </w:rPr>
        <w:t>Unit 2</w:t>
      </w:r>
      <w:r w:rsidR="00E15F73">
        <w:rPr>
          <w:b/>
          <w:color w:val="1F4E79"/>
          <w:sz w:val="27"/>
          <w:szCs w:val="27"/>
        </w:rPr>
        <w:t xml:space="preserve"> – </w:t>
      </w:r>
      <w:r w:rsidR="00E15F73" w:rsidRPr="00E15F73">
        <w:rPr>
          <w:b/>
          <w:color w:val="1F4E79"/>
          <w:sz w:val="27"/>
          <w:szCs w:val="27"/>
        </w:rPr>
        <w:t>Gurmukhi</w:t>
      </w:r>
      <w:r w:rsidR="00E15F73">
        <w:rPr>
          <w:b/>
          <w:color w:val="1F4E79"/>
          <w:sz w:val="27"/>
          <w:szCs w:val="27"/>
        </w:rPr>
        <w:t xml:space="preserve"> – Vowel Symbols</w:t>
      </w:r>
      <w:r>
        <w:rPr>
          <w:b/>
          <w:color w:val="1F4E79"/>
          <w:sz w:val="27"/>
          <w:szCs w:val="27"/>
        </w:rPr>
        <w:t xml:space="preserve"> </w:t>
      </w:r>
      <w:r>
        <w:rPr>
          <w:b/>
          <w:color w:val="000000"/>
          <w:sz w:val="24"/>
          <w:szCs w:val="24"/>
        </w:rPr>
        <w:t xml:space="preserve">(7 weeks) </w:t>
      </w:r>
    </w:p>
    <w:p w14:paraId="0E2D68F4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b/>
          <w:color w:val="000000"/>
          <w:sz w:val="24"/>
          <w:szCs w:val="24"/>
        </w:rPr>
      </w:pPr>
      <w:r>
        <w:rPr>
          <w:b/>
          <w:color w:val="1F4E79"/>
          <w:sz w:val="27"/>
          <w:szCs w:val="27"/>
        </w:rPr>
        <w:t>Unit 3</w:t>
      </w:r>
      <w:r w:rsidR="00D720AF">
        <w:rPr>
          <w:b/>
          <w:color w:val="1F4E79"/>
          <w:sz w:val="27"/>
          <w:szCs w:val="27"/>
        </w:rPr>
        <w:t xml:space="preserve"> – Modifying Sounds in Gurmukhi</w:t>
      </w:r>
      <w:r>
        <w:rPr>
          <w:b/>
          <w:color w:val="1F4E79"/>
          <w:sz w:val="27"/>
          <w:szCs w:val="27"/>
        </w:rPr>
        <w:t xml:space="preserve"> </w:t>
      </w:r>
      <w:r>
        <w:rPr>
          <w:b/>
          <w:color w:val="000000"/>
          <w:sz w:val="24"/>
          <w:szCs w:val="24"/>
        </w:rPr>
        <w:t xml:space="preserve">(7 weeks) </w:t>
      </w:r>
    </w:p>
    <w:p w14:paraId="7F201494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b/>
          <w:color w:val="000000"/>
          <w:sz w:val="24"/>
          <w:szCs w:val="24"/>
        </w:rPr>
      </w:pPr>
      <w:r>
        <w:rPr>
          <w:b/>
          <w:color w:val="1F4E79"/>
          <w:sz w:val="27"/>
          <w:szCs w:val="27"/>
        </w:rPr>
        <w:t>Unit 4</w:t>
      </w:r>
      <w:r w:rsidR="00D720AF">
        <w:rPr>
          <w:b/>
          <w:color w:val="1F4E79"/>
          <w:sz w:val="27"/>
          <w:szCs w:val="27"/>
        </w:rPr>
        <w:t xml:space="preserve"> – Basic Punjabi Grammar</w:t>
      </w:r>
      <w:r>
        <w:rPr>
          <w:b/>
          <w:color w:val="1F4E79"/>
          <w:sz w:val="27"/>
          <w:szCs w:val="27"/>
        </w:rPr>
        <w:t xml:space="preserve"> </w:t>
      </w:r>
      <w:r>
        <w:rPr>
          <w:b/>
          <w:color w:val="000000"/>
          <w:sz w:val="24"/>
          <w:szCs w:val="24"/>
        </w:rPr>
        <w:t xml:space="preserve">(7 weeks) </w:t>
      </w:r>
    </w:p>
    <w:p w14:paraId="0CC27DF6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b/>
          <w:color w:val="000000"/>
          <w:sz w:val="24"/>
          <w:szCs w:val="24"/>
        </w:rPr>
      </w:pPr>
      <w:r>
        <w:rPr>
          <w:b/>
          <w:color w:val="1F4E79"/>
          <w:sz w:val="27"/>
          <w:szCs w:val="27"/>
        </w:rPr>
        <w:t>Unit 5</w:t>
      </w:r>
      <w:r w:rsidR="00D720AF">
        <w:rPr>
          <w:b/>
          <w:color w:val="1F4E79"/>
          <w:sz w:val="27"/>
          <w:szCs w:val="27"/>
        </w:rPr>
        <w:t xml:space="preserve"> – Reading and Writing Comprehension</w:t>
      </w:r>
      <w:r>
        <w:rPr>
          <w:b/>
          <w:color w:val="1F4E79"/>
          <w:sz w:val="27"/>
          <w:szCs w:val="27"/>
        </w:rPr>
        <w:t xml:space="preserve"> </w:t>
      </w:r>
      <w:r>
        <w:rPr>
          <w:b/>
          <w:color w:val="000000"/>
          <w:sz w:val="24"/>
          <w:szCs w:val="24"/>
        </w:rPr>
        <w:t xml:space="preserve">(7 weeks) </w:t>
      </w:r>
    </w:p>
    <w:p w14:paraId="1C66F427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108"/>
        <w:rPr>
          <w:b/>
          <w:color w:val="1F4E79"/>
          <w:sz w:val="27"/>
          <w:szCs w:val="27"/>
        </w:rPr>
      </w:pPr>
      <w:r>
        <w:rPr>
          <w:b/>
          <w:color w:val="1F4E79"/>
          <w:sz w:val="27"/>
          <w:szCs w:val="27"/>
          <w:u w:val="single"/>
        </w:rPr>
        <w:t>Course Materials</w:t>
      </w:r>
      <w:r>
        <w:rPr>
          <w:b/>
          <w:color w:val="1F4E79"/>
          <w:sz w:val="27"/>
          <w:szCs w:val="27"/>
        </w:rPr>
        <w:t xml:space="preserve"> </w:t>
      </w:r>
    </w:p>
    <w:p w14:paraId="34B12EF8" w14:textId="77777777" w:rsidR="00A1528D" w:rsidRDefault="00D720AF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10" w:right="1038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A1528D">
        <w:rPr>
          <w:color w:val="000000"/>
          <w:sz w:val="24"/>
          <w:szCs w:val="24"/>
        </w:rPr>
        <w:t xml:space="preserve"> textbook is</w:t>
      </w:r>
      <w:r>
        <w:rPr>
          <w:color w:val="000000"/>
          <w:sz w:val="24"/>
          <w:szCs w:val="24"/>
        </w:rPr>
        <w:t xml:space="preserve"> not</w:t>
      </w:r>
      <w:r w:rsidR="00A1528D">
        <w:rPr>
          <w:color w:val="000000"/>
          <w:sz w:val="24"/>
          <w:szCs w:val="24"/>
        </w:rPr>
        <w:t xml:space="preserve"> required. Co</w:t>
      </w:r>
      <w:r>
        <w:rPr>
          <w:color w:val="000000"/>
          <w:sz w:val="24"/>
          <w:szCs w:val="24"/>
        </w:rPr>
        <w:t>urse content is delivered on the</w:t>
      </w:r>
      <w:r w:rsidR="00A1528D">
        <w:rPr>
          <w:color w:val="000000"/>
          <w:sz w:val="24"/>
          <w:szCs w:val="24"/>
        </w:rPr>
        <w:t xml:space="preserve"> online platform.</w:t>
      </w:r>
    </w:p>
    <w:p w14:paraId="0C63BFC8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95"/>
        <w:rPr>
          <w:b/>
          <w:color w:val="1F4E79"/>
          <w:sz w:val="27"/>
          <w:szCs w:val="27"/>
        </w:rPr>
      </w:pPr>
      <w:r w:rsidRPr="00A70743">
        <w:rPr>
          <w:b/>
          <w:color w:val="1F4E79"/>
          <w:sz w:val="27"/>
          <w:szCs w:val="27"/>
          <w:u w:val="single"/>
        </w:rPr>
        <w:t>Ass</w:t>
      </w:r>
      <w:r>
        <w:rPr>
          <w:b/>
          <w:color w:val="1F4E79"/>
          <w:sz w:val="27"/>
          <w:szCs w:val="27"/>
          <w:u w:val="single"/>
        </w:rPr>
        <w:t>essment Information</w:t>
      </w:r>
      <w:r>
        <w:rPr>
          <w:b/>
          <w:color w:val="1F4E79"/>
          <w:sz w:val="27"/>
          <w:szCs w:val="27"/>
        </w:rPr>
        <w:t xml:space="preserve"> </w:t>
      </w:r>
    </w:p>
    <w:p w14:paraId="69C10D68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5" w:right="838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will complete a variety of tasks in each unit. The course is structured for one unit </w:t>
      </w:r>
      <w:r w:rsidR="00BA1C4A">
        <w:rPr>
          <w:color w:val="000000"/>
          <w:sz w:val="24"/>
          <w:szCs w:val="24"/>
        </w:rPr>
        <w:t xml:space="preserve">to </w:t>
      </w:r>
      <w:r>
        <w:rPr>
          <w:color w:val="000000"/>
          <w:sz w:val="24"/>
          <w:szCs w:val="24"/>
        </w:rPr>
        <w:t xml:space="preserve">build on the skills of the previous units, so you need to </w:t>
      </w:r>
      <w:r w:rsidR="00BA1C4A">
        <w:rPr>
          <w:color w:val="000000"/>
          <w:sz w:val="24"/>
          <w:szCs w:val="24"/>
        </w:rPr>
        <w:t xml:space="preserve">progress through the course in </w:t>
      </w:r>
      <w:r>
        <w:rPr>
          <w:color w:val="000000"/>
          <w:sz w:val="24"/>
          <w:szCs w:val="24"/>
        </w:rPr>
        <w:t xml:space="preserve">the order it is presented. </w:t>
      </w:r>
    </w:p>
    <w:p w14:paraId="2E2C4000" w14:textId="77777777" w:rsidR="00A1528D" w:rsidRDefault="00C83C52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95" w:right="932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Tasks have been divided into </w:t>
      </w:r>
      <w:r>
        <w:rPr>
          <w:b/>
          <w:color w:val="000000"/>
          <w:sz w:val="24"/>
          <w:szCs w:val="24"/>
        </w:rPr>
        <w:t xml:space="preserve">Reading and Writing Comprehension Assignments, Cultural Assignments, Oral Assignments, Unit Tests, Final Oral Composition. </w:t>
      </w:r>
      <w:r>
        <w:rPr>
          <w:color w:val="000000"/>
          <w:sz w:val="24"/>
          <w:szCs w:val="24"/>
        </w:rPr>
        <w:t>The marks breakdown is as follows:</w:t>
      </w:r>
    </w:p>
    <w:p w14:paraId="72A00515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95" w:right="932" w:firstLine="5"/>
        <w:rPr>
          <w:color w:val="000000"/>
          <w:sz w:val="24"/>
          <w:szCs w:val="24"/>
        </w:rPr>
      </w:pPr>
    </w:p>
    <w:tbl>
      <w:tblPr>
        <w:tblW w:w="7833" w:type="dxa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2"/>
        <w:gridCol w:w="1701"/>
      </w:tblGrid>
      <w:tr w:rsidR="00AB6ECB" w14:paraId="7622CC93" w14:textId="77777777" w:rsidTr="00E8414F">
        <w:trPr>
          <w:trHeight w:val="283"/>
        </w:trPr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E299" w14:textId="77777777" w:rsidR="00AB6ECB" w:rsidRDefault="00AB6ECB" w:rsidP="00AB6ECB">
            <w:pPr>
              <w:widowControl w:val="0"/>
              <w:spacing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Language &amp; Practice Activities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FE0B" w14:textId="77777777" w:rsidR="00AB6ECB" w:rsidRDefault="00AB6ECB" w:rsidP="00AB6ECB">
            <w:pPr>
              <w:widowControl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Practice</w:t>
            </w:r>
          </w:p>
        </w:tc>
      </w:tr>
      <w:tr w:rsidR="00AB6ECB" w14:paraId="0FA07B08" w14:textId="77777777" w:rsidTr="00E8414F">
        <w:trPr>
          <w:trHeight w:val="288"/>
        </w:trPr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28C7" w14:textId="77777777" w:rsidR="00AB6ECB" w:rsidRDefault="0012743C" w:rsidP="00B44C53">
            <w:pPr>
              <w:widowControl w:val="0"/>
              <w:spacing w:line="240" w:lineRule="auto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Vocabulary A</w:t>
            </w:r>
            <w:r w:rsidR="00B44C53">
              <w:rPr>
                <w:b/>
                <w:color w:val="000000"/>
                <w:sz w:val="24"/>
                <w:szCs w:val="24"/>
              </w:rPr>
              <w:t>ctivities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1A0E" w14:textId="77777777" w:rsidR="00AB6ECB" w:rsidRDefault="0012743C" w:rsidP="0012743C">
            <w:pPr>
              <w:widowControl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 Practice</w:t>
            </w:r>
          </w:p>
        </w:tc>
      </w:tr>
      <w:tr w:rsidR="0012743C" w14:paraId="0B6FC80C" w14:textId="77777777" w:rsidTr="00E8414F">
        <w:trPr>
          <w:trHeight w:val="287"/>
        </w:trPr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A39F" w14:textId="77777777" w:rsidR="0012743C" w:rsidRDefault="0012743C" w:rsidP="0012743C">
            <w:pPr>
              <w:widowControl w:val="0"/>
              <w:spacing w:line="240" w:lineRule="auto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Phonics Assignments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C9B5" w14:textId="77777777" w:rsidR="0012743C" w:rsidRDefault="00E8414F" w:rsidP="0012743C">
            <w:pPr>
              <w:widowControl w:val="0"/>
              <w:spacing w:line="240" w:lineRule="auto"/>
              <w:ind w:left="1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20%</w:t>
            </w:r>
          </w:p>
        </w:tc>
      </w:tr>
      <w:tr w:rsidR="0012743C" w14:paraId="2487E0F5" w14:textId="77777777" w:rsidTr="00E8414F">
        <w:trPr>
          <w:trHeight w:val="283"/>
        </w:trPr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3D0A" w14:textId="77777777" w:rsidR="0012743C" w:rsidRDefault="0012743C" w:rsidP="0012743C">
            <w:pPr>
              <w:widowControl w:val="0"/>
              <w:spacing w:line="240" w:lineRule="auto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Cultural Assignments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489D0" w14:textId="77777777" w:rsidR="0012743C" w:rsidRDefault="00E8414F" w:rsidP="0012743C">
            <w:pPr>
              <w:widowControl w:val="0"/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15%</w:t>
            </w:r>
          </w:p>
        </w:tc>
      </w:tr>
      <w:tr w:rsidR="0012743C" w14:paraId="2A93F4A5" w14:textId="77777777" w:rsidTr="00E8414F">
        <w:trPr>
          <w:trHeight w:val="288"/>
        </w:trPr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DC2B" w14:textId="77777777" w:rsidR="0012743C" w:rsidRDefault="0012743C" w:rsidP="0012743C">
            <w:pPr>
              <w:widowControl w:val="0"/>
              <w:spacing w:line="24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and Writing Comprehension Assignments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03D5" w14:textId="77777777" w:rsidR="0012743C" w:rsidRDefault="00E8414F" w:rsidP="0012743C">
            <w:pPr>
              <w:widowControl w:val="0"/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20%</w:t>
            </w:r>
          </w:p>
        </w:tc>
      </w:tr>
      <w:tr w:rsidR="0012743C" w14:paraId="72B8D4AF" w14:textId="77777777" w:rsidTr="00E8414F">
        <w:trPr>
          <w:trHeight w:val="283"/>
        </w:trPr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37EF" w14:textId="77777777" w:rsidR="0012743C" w:rsidRDefault="00B44C53" w:rsidP="0012743C">
            <w:pPr>
              <w:widowControl w:val="0"/>
              <w:spacing w:line="240" w:lineRule="auto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Oral Assignments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8512" w14:textId="77777777" w:rsidR="0012743C" w:rsidRDefault="00E8414F" w:rsidP="0012743C">
            <w:pPr>
              <w:widowControl w:val="0"/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15%</w:t>
            </w:r>
          </w:p>
        </w:tc>
      </w:tr>
      <w:tr w:rsidR="0012743C" w14:paraId="051BFEFA" w14:textId="77777777" w:rsidTr="00E8414F">
        <w:trPr>
          <w:trHeight w:val="288"/>
        </w:trPr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32EA" w14:textId="77777777" w:rsidR="0012743C" w:rsidRDefault="00B44C53" w:rsidP="0012743C">
            <w:pPr>
              <w:widowControl w:val="0"/>
              <w:spacing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Tests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FFB7" w14:textId="77777777" w:rsidR="0012743C" w:rsidRDefault="00E8414F" w:rsidP="0012743C">
            <w:pPr>
              <w:widowControl w:val="0"/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15%</w:t>
            </w:r>
          </w:p>
        </w:tc>
      </w:tr>
      <w:tr w:rsidR="0012743C" w14:paraId="1DBD64CE" w14:textId="77777777" w:rsidTr="00E8414F">
        <w:trPr>
          <w:trHeight w:val="283"/>
        </w:trPr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17B17" w14:textId="77777777" w:rsidR="0012743C" w:rsidRDefault="00B44C53" w:rsidP="0012743C">
            <w:pPr>
              <w:widowControl w:val="0"/>
              <w:spacing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 Oral Composition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D2A9" w14:textId="77777777" w:rsidR="0012743C" w:rsidRDefault="00E8414F" w:rsidP="0012743C">
            <w:pPr>
              <w:widowControl w:val="0"/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15%</w:t>
            </w:r>
          </w:p>
        </w:tc>
      </w:tr>
    </w:tbl>
    <w:p w14:paraId="05D0EA49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B8B5E1" w14:textId="77777777" w:rsidR="00A44354" w:rsidRDefault="00A44354" w:rsidP="00A44354">
      <w:pPr>
        <w:widowControl w:val="0"/>
        <w:spacing w:before="282" w:line="240" w:lineRule="auto"/>
        <w:ind w:left="132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  <w:u w:val="single"/>
        </w:rPr>
        <w:t>Unit Assignments</w:t>
      </w:r>
      <w:r>
        <w:rPr>
          <w:b/>
          <w:color w:val="1F4E79"/>
          <w:sz w:val="24"/>
          <w:szCs w:val="24"/>
        </w:rPr>
        <w:t xml:space="preserve"> </w:t>
      </w:r>
    </w:p>
    <w:p w14:paraId="5B265DE4" w14:textId="77777777" w:rsidR="00A1528D" w:rsidRPr="00A44354" w:rsidRDefault="00A44354" w:rsidP="00A44354">
      <w:pPr>
        <w:widowControl w:val="0"/>
        <w:spacing w:line="228" w:lineRule="auto"/>
        <w:ind w:left="123" w:right="1184" w:hanging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instructions of assignments as well as evaluation rubrics are contained within the assignment description. Once the assignments are complete, they should be scanned and</w:t>
      </w:r>
      <w:r w:rsidR="00C83C52">
        <w:rPr>
          <w:color w:val="000000"/>
          <w:sz w:val="24"/>
          <w:szCs w:val="24"/>
        </w:rPr>
        <w:t>/or</w:t>
      </w:r>
      <w:r>
        <w:rPr>
          <w:color w:val="000000"/>
          <w:sz w:val="24"/>
          <w:szCs w:val="24"/>
        </w:rPr>
        <w:t xml:space="preserve"> uploaded to the assignment submission boxes for marking. </w:t>
      </w:r>
    </w:p>
    <w:p w14:paraId="69ECD5E8" w14:textId="77777777" w:rsidR="00A1528D" w:rsidRDefault="00A1528D" w:rsidP="00A443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b/>
          <w:color w:val="1F4E79"/>
          <w:sz w:val="27"/>
          <w:szCs w:val="27"/>
          <w:u w:val="single"/>
        </w:rPr>
      </w:pPr>
    </w:p>
    <w:p w14:paraId="3DD71C91" w14:textId="77777777" w:rsidR="00A44354" w:rsidRDefault="00A1528D" w:rsidP="00A443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b/>
          <w:color w:val="1F4E79"/>
          <w:sz w:val="27"/>
          <w:szCs w:val="27"/>
        </w:rPr>
      </w:pPr>
      <w:r>
        <w:rPr>
          <w:b/>
          <w:color w:val="1F4E79"/>
          <w:sz w:val="27"/>
          <w:szCs w:val="27"/>
          <w:u w:val="single"/>
        </w:rPr>
        <w:t>Reporting</w:t>
      </w:r>
      <w:r>
        <w:rPr>
          <w:b/>
          <w:color w:val="1F4E79"/>
          <w:sz w:val="27"/>
          <w:szCs w:val="27"/>
        </w:rPr>
        <w:t xml:space="preserve"> </w:t>
      </w:r>
    </w:p>
    <w:p w14:paraId="006FC71D" w14:textId="77777777" w:rsidR="00A1528D" w:rsidRDefault="001E7C60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95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  <w:u w:val="single"/>
        </w:rPr>
        <w:t>Viewing Progress</w:t>
      </w:r>
    </w:p>
    <w:p w14:paraId="5B364E3E" w14:textId="77777777" w:rsidR="001E7C60" w:rsidRPr="001E7C60" w:rsidRDefault="001E7C60" w:rsidP="001E7C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7" w:right="810" w:firstLine="3"/>
        <w:rPr>
          <w:color w:val="000000"/>
          <w:sz w:val="24"/>
          <w:szCs w:val="24"/>
        </w:rPr>
      </w:pPr>
      <w:r w:rsidRPr="001E7C60">
        <w:rPr>
          <w:color w:val="000000"/>
          <w:sz w:val="24"/>
          <w:szCs w:val="24"/>
        </w:rPr>
        <w:t>Students, you must set up your PACING &amp; PROGRESS widget. This video covers it all:</w:t>
      </w:r>
    </w:p>
    <w:p w14:paraId="4D648EE5" w14:textId="77777777" w:rsidR="00A1528D" w:rsidRDefault="001E7C60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7" w:right="810" w:firstLine="3"/>
        <w:rPr>
          <w:color w:val="000000"/>
          <w:sz w:val="24"/>
          <w:szCs w:val="24"/>
        </w:rPr>
      </w:pPr>
      <w:hyperlink r:id="rId7" w:history="1">
        <w:r w:rsidRPr="00EF57D0">
          <w:rPr>
            <w:rStyle w:val="Hyperlink"/>
            <w:sz w:val="24"/>
            <w:szCs w:val="24"/>
          </w:rPr>
          <w:t>https://vimeo.com/1015077961?share=copy</w:t>
        </w:r>
      </w:hyperlink>
      <w:r>
        <w:rPr>
          <w:color w:val="000000"/>
          <w:sz w:val="24"/>
          <w:szCs w:val="24"/>
        </w:rPr>
        <w:t xml:space="preserve"> </w:t>
      </w:r>
      <w:r w:rsidR="0092073E">
        <w:rPr>
          <w:sz w:val="24"/>
          <w:szCs w:val="24"/>
        </w:rPr>
        <w:t xml:space="preserve"> </w:t>
      </w:r>
    </w:p>
    <w:p w14:paraId="25CABB7D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7" w:right="810" w:firstLine="3"/>
        <w:rPr>
          <w:sz w:val="24"/>
          <w:szCs w:val="24"/>
        </w:rPr>
      </w:pPr>
    </w:p>
    <w:p w14:paraId="6D876B25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  <w:u w:val="single"/>
        </w:rPr>
        <w:t>Report Cards</w:t>
      </w:r>
      <w:r>
        <w:rPr>
          <w:b/>
          <w:color w:val="1F4E79"/>
          <w:sz w:val="24"/>
          <w:szCs w:val="24"/>
        </w:rPr>
        <w:t xml:space="preserve"> </w:t>
      </w:r>
    </w:p>
    <w:p w14:paraId="7F26683E" w14:textId="77777777" w:rsidR="007E40B8" w:rsidRDefault="0092073E" w:rsidP="007E40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3" w:right="76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 card will be issued for the Fall term in November, March</w:t>
      </w:r>
      <w:r w:rsidR="00A1528D" w:rsidRPr="007715C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and </w:t>
      </w:r>
      <w:r w:rsidR="00A1528D" w:rsidRPr="007715C6">
        <w:rPr>
          <w:color w:val="000000"/>
          <w:sz w:val="24"/>
          <w:szCs w:val="24"/>
        </w:rPr>
        <w:t>June</w:t>
      </w:r>
      <w:r>
        <w:rPr>
          <w:color w:val="000000"/>
          <w:sz w:val="24"/>
          <w:szCs w:val="24"/>
        </w:rPr>
        <w:t>. For Spring/Summer, only a final report card will be issued in</w:t>
      </w:r>
      <w:r w:rsidR="007E40B8">
        <w:rPr>
          <w:color w:val="000000"/>
          <w:sz w:val="24"/>
          <w:szCs w:val="24"/>
        </w:rPr>
        <w:t xml:space="preserve"> August. </w:t>
      </w:r>
      <w:r w:rsidR="00A1528D">
        <w:rPr>
          <w:color w:val="000000"/>
          <w:sz w:val="24"/>
          <w:szCs w:val="24"/>
        </w:rPr>
        <w:t xml:space="preserve">These </w:t>
      </w:r>
      <w:r w:rsidR="00A44354">
        <w:rPr>
          <w:color w:val="000000"/>
          <w:sz w:val="24"/>
          <w:szCs w:val="24"/>
        </w:rPr>
        <w:t>reports are available for Delta</w:t>
      </w:r>
      <w:r w:rsidR="00A1528D">
        <w:rPr>
          <w:color w:val="000000"/>
          <w:sz w:val="24"/>
          <w:szCs w:val="24"/>
        </w:rPr>
        <w:t xml:space="preserve"> School District students on our student management system</w:t>
      </w:r>
      <w:r w:rsidR="007E40B8">
        <w:rPr>
          <w:color w:val="000000"/>
          <w:sz w:val="24"/>
          <w:szCs w:val="24"/>
        </w:rPr>
        <w:t xml:space="preserve"> (Student Connect and Parent Connect)</w:t>
      </w:r>
      <w:r w:rsidR="00A1528D">
        <w:rPr>
          <w:color w:val="000000"/>
          <w:sz w:val="24"/>
          <w:szCs w:val="24"/>
        </w:rPr>
        <w:t>. Fo</w:t>
      </w:r>
      <w:r w:rsidR="00A44354">
        <w:rPr>
          <w:color w:val="000000"/>
          <w:sz w:val="24"/>
          <w:szCs w:val="24"/>
        </w:rPr>
        <w:t xml:space="preserve">r those not attending </w:t>
      </w:r>
      <w:r w:rsidR="00A1528D">
        <w:rPr>
          <w:color w:val="000000"/>
          <w:sz w:val="24"/>
          <w:szCs w:val="24"/>
        </w:rPr>
        <w:t>one of our high schools, please call our Continuing Ed</w:t>
      </w:r>
      <w:r w:rsidR="00A44354">
        <w:rPr>
          <w:color w:val="000000"/>
          <w:sz w:val="24"/>
          <w:szCs w:val="24"/>
        </w:rPr>
        <w:t xml:space="preserve">ucation office 604-940-5550 to </w:t>
      </w:r>
      <w:r w:rsidR="00A1528D">
        <w:rPr>
          <w:color w:val="000000"/>
          <w:sz w:val="24"/>
          <w:szCs w:val="24"/>
        </w:rPr>
        <w:t xml:space="preserve">receive a copy. </w:t>
      </w:r>
    </w:p>
    <w:p w14:paraId="7F7A11D3" w14:textId="77777777" w:rsidR="0092073E" w:rsidRDefault="0092073E" w:rsidP="00C171E7">
      <w:pPr>
        <w:widowControl w:val="0"/>
        <w:spacing w:before="282" w:line="228" w:lineRule="auto"/>
        <w:ind w:left="122" w:right="8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Only students who have done enough work to meet th</w:t>
      </w:r>
      <w:r w:rsidR="007E40B8">
        <w:rPr>
          <w:color w:val="000000"/>
          <w:sz w:val="24"/>
          <w:szCs w:val="24"/>
        </w:rPr>
        <w:t xml:space="preserve">e activity requirement for the </w:t>
      </w:r>
      <w:r>
        <w:rPr>
          <w:color w:val="000000"/>
          <w:sz w:val="24"/>
          <w:szCs w:val="24"/>
        </w:rPr>
        <w:t xml:space="preserve">course will get report cards by the term deadlines outlined </w:t>
      </w:r>
      <w:r w:rsidR="007E40B8">
        <w:rPr>
          <w:color w:val="000000"/>
          <w:sz w:val="24"/>
          <w:szCs w:val="24"/>
        </w:rPr>
        <w:t xml:space="preserve">by their teachers. Even if you </w:t>
      </w:r>
      <w:r>
        <w:rPr>
          <w:color w:val="000000"/>
          <w:sz w:val="24"/>
          <w:szCs w:val="24"/>
        </w:rPr>
        <w:t xml:space="preserve">are getting progress reports you are not considered an active </w:t>
      </w:r>
      <w:r w:rsidR="007E40B8">
        <w:rPr>
          <w:color w:val="000000"/>
          <w:sz w:val="24"/>
          <w:szCs w:val="24"/>
        </w:rPr>
        <w:t>(official student) until this requirement i</w:t>
      </w:r>
      <w:r>
        <w:rPr>
          <w:color w:val="000000"/>
          <w:sz w:val="24"/>
          <w:szCs w:val="24"/>
        </w:rPr>
        <w:t xml:space="preserve">s met. For </w:t>
      </w:r>
      <w:r w:rsidR="00E90F6F">
        <w:rPr>
          <w:color w:val="000000"/>
          <w:sz w:val="24"/>
          <w:szCs w:val="24"/>
        </w:rPr>
        <w:t>Intro Punjabi 11</w:t>
      </w:r>
      <w:r>
        <w:rPr>
          <w:color w:val="000000"/>
          <w:sz w:val="24"/>
          <w:szCs w:val="24"/>
        </w:rPr>
        <w:t>, the first assignment “</w:t>
      </w:r>
      <w:r w:rsidR="007F06CF">
        <w:rPr>
          <w:color w:val="000000"/>
          <w:sz w:val="24"/>
          <w:szCs w:val="24"/>
        </w:rPr>
        <w:t>Cultural Perspectives</w:t>
      </w:r>
      <w:r>
        <w:rPr>
          <w:color w:val="000000"/>
          <w:sz w:val="24"/>
          <w:szCs w:val="24"/>
        </w:rPr>
        <w:t>” mus</w:t>
      </w:r>
      <w:r w:rsidR="007E40B8">
        <w:rPr>
          <w:color w:val="000000"/>
          <w:sz w:val="24"/>
          <w:szCs w:val="24"/>
        </w:rPr>
        <w:t xml:space="preserve">t be </w:t>
      </w:r>
      <w:r>
        <w:rPr>
          <w:color w:val="000000"/>
          <w:sz w:val="24"/>
          <w:szCs w:val="24"/>
        </w:rPr>
        <w:t xml:space="preserve">submitted and assessed for the activity requirement to be met. </w:t>
      </w:r>
    </w:p>
    <w:p w14:paraId="090ABCDF" w14:textId="77777777" w:rsidR="00A1528D" w:rsidRDefault="00A1528D" w:rsidP="00771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95" w:right="7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Initially, course reports will be based only on assignments that students have submitted.  </w:t>
      </w:r>
      <w:proofErr w:type="gramStart"/>
      <w:r>
        <w:rPr>
          <w:color w:val="000000"/>
          <w:sz w:val="24"/>
          <w:szCs w:val="24"/>
        </w:rPr>
        <w:t>At a later date</w:t>
      </w:r>
      <w:proofErr w:type="gramEnd"/>
      <w:r>
        <w:rPr>
          <w:color w:val="000000"/>
          <w:sz w:val="24"/>
          <w:szCs w:val="24"/>
        </w:rPr>
        <w:t>, all missing assignments will count in grad</w:t>
      </w:r>
      <w:r w:rsidR="007715C6">
        <w:rPr>
          <w:color w:val="000000"/>
          <w:sz w:val="24"/>
          <w:szCs w:val="24"/>
        </w:rPr>
        <w:t>e calculations, giving students</w:t>
      </w:r>
      <w:r>
        <w:rPr>
          <w:color w:val="000000"/>
          <w:sz w:val="24"/>
          <w:szCs w:val="24"/>
        </w:rPr>
        <w:t xml:space="preserve"> a realistic picture of current course standings. It is impor</w:t>
      </w:r>
      <w:r w:rsidR="007715C6">
        <w:rPr>
          <w:color w:val="000000"/>
          <w:sz w:val="24"/>
          <w:szCs w:val="24"/>
        </w:rPr>
        <w:t xml:space="preserve">tant when viewing report cards </w:t>
      </w:r>
      <w:r>
        <w:rPr>
          <w:color w:val="000000"/>
          <w:sz w:val="24"/>
          <w:szCs w:val="24"/>
        </w:rPr>
        <w:t xml:space="preserve">and progress reports up until this point that the amount of the course completed is </w:t>
      </w:r>
      <w:r w:rsidR="007715C6">
        <w:rPr>
          <w:color w:val="000000"/>
          <w:sz w:val="24"/>
          <w:szCs w:val="24"/>
        </w:rPr>
        <w:t>considered (ex. 90%</w:t>
      </w:r>
      <w:r w:rsidRPr="007715C6">
        <w:rPr>
          <w:color w:val="000000"/>
          <w:sz w:val="24"/>
          <w:szCs w:val="24"/>
        </w:rPr>
        <w:t xml:space="preserve"> in a course tha</w:t>
      </w:r>
      <w:r w:rsidR="007715C6">
        <w:rPr>
          <w:color w:val="000000"/>
          <w:sz w:val="24"/>
          <w:szCs w:val="24"/>
        </w:rPr>
        <w:t xml:space="preserve">t is only 10% complete is very </w:t>
      </w:r>
      <w:r w:rsidRPr="007715C6">
        <w:rPr>
          <w:color w:val="000000"/>
          <w:sz w:val="24"/>
          <w:szCs w:val="24"/>
        </w:rPr>
        <w:t xml:space="preserve">different than 90% in a course that is 80% </w:t>
      </w:r>
      <w:r w:rsidRPr="007715C6">
        <w:rPr>
          <w:color w:val="000000"/>
          <w:sz w:val="24"/>
          <w:szCs w:val="24"/>
        </w:rPr>
        <w:lastRenderedPageBreak/>
        <w:t>complete)</w:t>
      </w:r>
      <w:r w:rsidR="007715C6">
        <w:rPr>
          <w:color w:val="000000"/>
          <w:sz w:val="24"/>
          <w:szCs w:val="24"/>
        </w:rPr>
        <w:t>.</w:t>
      </w:r>
    </w:p>
    <w:p w14:paraId="7BFC7C2B" w14:textId="77777777" w:rsidR="00C171E7" w:rsidRPr="00C171E7" w:rsidRDefault="00C171E7" w:rsidP="00C171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97" w:right="833" w:firstLine="17"/>
        <w:rPr>
          <w:color w:val="0563C1"/>
          <w:sz w:val="24"/>
          <w:szCs w:val="24"/>
        </w:rPr>
      </w:pPr>
      <w:r>
        <w:rPr>
          <w:color w:val="000000"/>
          <w:sz w:val="24"/>
          <w:szCs w:val="24"/>
        </w:rPr>
        <w:t xml:space="preserve">For more information regarding mark entry windows and grading, please visit </w:t>
      </w:r>
      <w:proofErr w:type="gramStart"/>
      <w:r>
        <w:rPr>
          <w:color w:val="000000"/>
          <w:sz w:val="24"/>
          <w:szCs w:val="24"/>
        </w:rPr>
        <w:t>the  following</w:t>
      </w:r>
      <w:proofErr w:type="gramEnd"/>
      <w:r>
        <w:rPr>
          <w:color w:val="000000"/>
          <w:sz w:val="24"/>
          <w:szCs w:val="24"/>
        </w:rPr>
        <w:t xml:space="preserve"> webpage: </w:t>
      </w:r>
      <w:r>
        <w:rPr>
          <w:color w:val="0563C1"/>
          <w:sz w:val="24"/>
          <w:szCs w:val="24"/>
          <w:u w:val="single"/>
        </w:rPr>
        <w:t>https://www.deltaaccess.ca/explaining-the-mark-entry-windows-and grading-for-delta-access/</w:t>
      </w:r>
      <w:r>
        <w:rPr>
          <w:color w:val="0563C1"/>
          <w:sz w:val="24"/>
          <w:szCs w:val="24"/>
        </w:rPr>
        <w:t xml:space="preserve"> </w:t>
      </w:r>
    </w:p>
    <w:p w14:paraId="20347090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15"/>
        <w:rPr>
          <w:b/>
          <w:color w:val="1F4E79"/>
          <w:sz w:val="27"/>
          <w:szCs w:val="27"/>
        </w:rPr>
      </w:pPr>
      <w:r>
        <w:rPr>
          <w:b/>
          <w:color w:val="1F4E79"/>
          <w:sz w:val="27"/>
          <w:szCs w:val="27"/>
          <w:u w:val="single"/>
        </w:rPr>
        <w:t>Plagiarism</w:t>
      </w:r>
      <w:r>
        <w:rPr>
          <w:b/>
          <w:color w:val="1F4E79"/>
          <w:sz w:val="27"/>
          <w:szCs w:val="27"/>
        </w:rPr>
        <w:t xml:space="preserve"> </w:t>
      </w:r>
    </w:p>
    <w:p w14:paraId="16CF1038" w14:textId="77777777" w:rsidR="007715C6" w:rsidRDefault="007715C6" w:rsidP="00771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95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  <w:u w:val="single"/>
        </w:rPr>
        <w:t>Plagiarism and Academic Dishonesty</w:t>
      </w:r>
    </w:p>
    <w:p w14:paraId="20ADE7E6" w14:textId="77777777" w:rsidR="00A1528D" w:rsidRPr="0092073E" w:rsidRDefault="00A1528D" w:rsidP="00920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28"/>
        <w:rPr>
          <w:color w:val="000000"/>
          <w:sz w:val="24"/>
          <w:szCs w:val="24"/>
        </w:rPr>
      </w:pPr>
    </w:p>
    <w:p w14:paraId="4AA614D5" w14:textId="77777777" w:rsidR="00A1528D" w:rsidRPr="007715C6" w:rsidRDefault="007715C6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5" w:right="10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 of the </w:t>
      </w:r>
      <w:r w:rsidR="00A1528D" w:rsidRPr="007715C6">
        <w:rPr>
          <w:color w:val="000000"/>
          <w:sz w:val="24"/>
          <w:szCs w:val="24"/>
        </w:rPr>
        <w:t>AI t</w:t>
      </w:r>
      <w:r>
        <w:rPr>
          <w:color w:val="000000"/>
          <w:sz w:val="24"/>
          <w:szCs w:val="24"/>
        </w:rPr>
        <w:t xml:space="preserve">echnology ChatGPT or AI is </w:t>
      </w:r>
      <w:r w:rsidR="00A1528D" w:rsidRPr="007715C6">
        <w:rPr>
          <w:color w:val="000000"/>
          <w:sz w:val="24"/>
          <w:szCs w:val="24"/>
        </w:rPr>
        <w:t>in violation of the Delta Access Plagiarism policy. If student work is suspected to be produced with artificial intelligence</w:t>
      </w:r>
      <w:r w:rsidRPr="007715C6">
        <w:rPr>
          <w:color w:val="000000"/>
          <w:sz w:val="24"/>
          <w:szCs w:val="24"/>
        </w:rPr>
        <w:t>,</w:t>
      </w:r>
      <w:r w:rsidR="00A1528D" w:rsidRPr="007715C6">
        <w:rPr>
          <w:color w:val="000000"/>
          <w:sz w:val="24"/>
          <w:szCs w:val="24"/>
        </w:rPr>
        <w:t xml:space="preserve"> it will be run through one of our AI checkers to confirm. If confirmed it will be treated the same as any other plagiarism violation </w:t>
      </w:r>
      <w:hyperlink r:id="rId8" w:history="1">
        <w:r w:rsidRPr="00EF57D0">
          <w:rPr>
            <w:rStyle w:val="Hyperlink"/>
            <w:sz w:val="24"/>
            <w:szCs w:val="24"/>
          </w:rPr>
          <w:t>https://www.deltaaccess.ca/plagiarism/</w:t>
        </w:r>
      </w:hyperlink>
      <w:r w:rsidR="0092073E">
        <w:rPr>
          <w:color w:val="000000"/>
          <w:sz w:val="24"/>
          <w:szCs w:val="24"/>
        </w:rPr>
        <w:t xml:space="preserve">. If you have any questions about these, please contact: </w:t>
      </w:r>
      <w:hyperlink r:id="rId9" w:history="1">
        <w:r w:rsidR="0092073E" w:rsidRPr="00EF57D0">
          <w:rPr>
            <w:rStyle w:val="Hyperlink"/>
            <w:sz w:val="24"/>
            <w:szCs w:val="24"/>
          </w:rPr>
          <w:t>btereposky@deltaschools.ca</w:t>
        </w:r>
      </w:hyperlink>
      <w:r w:rsidR="0092073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</w:p>
    <w:p w14:paraId="607A04A5" w14:textId="77777777" w:rsidR="00A1528D" w:rsidRDefault="00A1528D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5" w:right="1028"/>
        <w:rPr>
          <w:i/>
          <w:color w:val="000000"/>
          <w:sz w:val="24"/>
          <w:szCs w:val="24"/>
        </w:rPr>
      </w:pPr>
    </w:p>
    <w:p w14:paraId="441122E8" w14:textId="77777777" w:rsidR="007715C6" w:rsidRPr="0092073E" w:rsidRDefault="0092073E" w:rsidP="00A15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5" w:right="1028"/>
        <w:rPr>
          <w:color w:val="0563C1"/>
          <w:sz w:val="24"/>
          <w:szCs w:val="24"/>
        </w:rPr>
      </w:pPr>
      <w:r w:rsidRPr="0092073E">
        <w:rPr>
          <w:bCs/>
          <w:color w:val="000000"/>
          <w:sz w:val="24"/>
          <w:szCs w:val="24"/>
        </w:rPr>
        <w:t>Plagiarism</w:t>
      </w:r>
      <w:r w:rsidRPr="0092073E">
        <w:rPr>
          <w:color w:val="000000"/>
          <w:sz w:val="24"/>
          <w:szCs w:val="24"/>
        </w:rPr>
        <w:t xml:space="preserve"> is using someone else’s ideas or </w:t>
      </w:r>
      <w:r>
        <w:rPr>
          <w:color w:val="000000"/>
          <w:sz w:val="24"/>
          <w:szCs w:val="24"/>
        </w:rPr>
        <w:t xml:space="preserve">words without giving them the appropriate credit and can range from unintentional to intentional. </w:t>
      </w:r>
      <w:hyperlink r:id="rId10" w:history="1">
        <w:r w:rsidRPr="00EF57D0">
          <w:rPr>
            <w:rStyle w:val="Hyperlink"/>
            <w:sz w:val="24"/>
            <w:szCs w:val="24"/>
          </w:rPr>
          <w:t>https://owl.purdue.edu/owl/avoiding_plagiarism/index.html</w:t>
        </w:r>
      </w:hyperlink>
      <w:r>
        <w:rPr>
          <w:color w:val="000000"/>
          <w:sz w:val="24"/>
          <w:szCs w:val="24"/>
        </w:rPr>
        <w:t xml:space="preserve">. </w:t>
      </w:r>
    </w:p>
    <w:p w14:paraId="6074E683" w14:textId="77777777" w:rsidR="00A1528D" w:rsidRDefault="00A1528D" w:rsidP="009207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99" w:right="785" w:firstLine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Plagiarism </w:t>
      </w:r>
      <w:r w:rsidR="0092073E">
        <w:rPr>
          <w:color w:val="000000"/>
          <w:sz w:val="24"/>
          <w:szCs w:val="24"/>
        </w:rPr>
        <w:t xml:space="preserve">is an </w:t>
      </w:r>
      <w:r>
        <w:rPr>
          <w:color w:val="000000"/>
          <w:sz w:val="24"/>
          <w:szCs w:val="24"/>
        </w:rPr>
        <w:t xml:space="preserve">academic </w:t>
      </w:r>
      <w:r>
        <w:rPr>
          <w:sz w:val="24"/>
          <w:szCs w:val="24"/>
        </w:rPr>
        <w:t>offense</w:t>
      </w:r>
      <w:r>
        <w:rPr>
          <w:color w:val="000000"/>
          <w:sz w:val="24"/>
          <w:szCs w:val="24"/>
        </w:rPr>
        <w:t xml:space="preserve"> that carries with it varying levels of</w:t>
      </w:r>
      <w:r w:rsidR="00C83C52">
        <w:rPr>
          <w:color w:val="000000"/>
          <w:sz w:val="24"/>
          <w:szCs w:val="24"/>
        </w:rPr>
        <w:t xml:space="preserve"> consequences. </w:t>
      </w:r>
      <w:r w:rsidR="0092073E">
        <w:rPr>
          <w:color w:val="000000"/>
          <w:sz w:val="24"/>
          <w:szCs w:val="24"/>
        </w:rPr>
        <w:t xml:space="preserve">Plagiarism can take </w:t>
      </w:r>
      <w:r>
        <w:rPr>
          <w:color w:val="000000"/>
          <w:sz w:val="24"/>
          <w:szCs w:val="24"/>
        </w:rPr>
        <w:t>various forms: copying another’s work, not citing another’s original</w:t>
      </w:r>
      <w:r w:rsidR="0092073E">
        <w:rPr>
          <w:color w:val="000000"/>
          <w:sz w:val="24"/>
          <w:szCs w:val="24"/>
        </w:rPr>
        <w:t xml:space="preserve"> work, copying</w:t>
      </w:r>
      <w:r w:rsidR="00C83C52">
        <w:rPr>
          <w:color w:val="000000"/>
          <w:sz w:val="24"/>
          <w:szCs w:val="24"/>
        </w:rPr>
        <w:t>/</w:t>
      </w:r>
      <w:proofErr w:type="spellStart"/>
      <w:r w:rsidR="00C83C52">
        <w:rPr>
          <w:color w:val="000000"/>
          <w:sz w:val="24"/>
          <w:szCs w:val="24"/>
        </w:rPr>
        <w:t>Rpasting</w:t>
      </w:r>
      <w:proofErr w:type="spellEnd"/>
      <w:r w:rsidR="00C83C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 claiming the wo</w:t>
      </w:r>
      <w:r w:rsidR="0092073E">
        <w:rPr>
          <w:color w:val="000000"/>
          <w:sz w:val="24"/>
          <w:szCs w:val="24"/>
        </w:rPr>
        <w:t xml:space="preserve">rk as your own, allowing other </w:t>
      </w:r>
      <w:r>
        <w:rPr>
          <w:color w:val="000000"/>
          <w:sz w:val="24"/>
          <w:szCs w:val="24"/>
        </w:rPr>
        <w:t xml:space="preserve">students to copy and submit your work as their own, </w:t>
      </w:r>
      <w:r w:rsidR="0092073E">
        <w:rPr>
          <w:color w:val="000000"/>
          <w:sz w:val="24"/>
          <w:szCs w:val="24"/>
        </w:rPr>
        <w:t xml:space="preserve">etc. You are responsible for being </w:t>
      </w:r>
      <w:r>
        <w:rPr>
          <w:color w:val="000000"/>
          <w:sz w:val="24"/>
          <w:szCs w:val="24"/>
        </w:rPr>
        <w:t xml:space="preserve">aware of the rules around using and citing other people’s work.  </w:t>
      </w:r>
    </w:p>
    <w:p w14:paraId="7FBC0D52" w14:textId="77777777" w:rsidR="00D720AF" w:rsidRPr="00D720AF" w:rsidRDefault="00D720AF" w:rsidP="00D720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08"/>
        <w:rPr>
          <w:b/>
          <w:color w:val="1F4E79"/>
          <w:sz w:val="27"/>
          <w:szCs w:val="27"/>
          <w:u w:val="single"/>
        </w:rPr>
      </w:pPr>
      <w:r>
        <w:rPr>
          <w:b/>
          <w:color w:val="1F4E79"/>
          <w:sz w:val="27"/>
          <w:szCs w:val="27"/>
          <w:u w:val="single"/>
        </w:rPr>
        <w:t>Contacting your Teacher</w:t>
      </w:r>
      <w:r>
        <w:rPr>
          <w:b/>
          <w:color w:val="1F4E79"/>
          <w:sz w:val="27"/>
          <w:szCs w:val="27"/>
        </w:rPr>
        <w:t xml:space="preserve"> </w:t>
      </w:r>
    </w:p>
    <w:p w14:paraId="6C580BE8" w14:textId="77777777" w:rsidR="00D720AF" w:rsidRPr="00D720AF" w:rsidRDefault="00D720AF" w:rsidP="00D720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1" w:lineRule="auto"/>
        <w:ind w:left="115" w:right="830" w:firstLine="2"/>
        <w:rPr>
          <w:color w:val="0563C1"/>
          <w:sz w:val="24"/>
          <w:szCs w:val="24"/>
        </w:rPr>
      </w:pPr>
      <w:r>
        <w:rPr>
          <w:color w:val="000000"/>
          <w:sz w:val="24"/>
          <w:szCs w:val="24"/>
        </w:rPr>
        <w:t xml:space="preserve">I can be contacted by email at </w:t>
      </w:r>
      <w:hyperlink r:id="rId11" w:history="1">
        <w:r w:rsidRPr="00EF57D0">
          <w:rPr>
            <w:rStyle w:val="Hyperlink"/>
            <w:sz w:val="24"/>
            <w:szCs w:val="24"/>
          </w:rPr>
          <w:t>asull@deltaschools.ca</w:t>
        </w:r>
      </w:hyperlink>
      <w:r>
        <w:rPr>
          <w:color w:val="000000"/>
          <w:sz w:val="24"/>
          <w:szCs w:val="24"/>
        </w:rPr>
        <w:t>.</w:t>
      </w:r>
    </w:p>
    <w:p w14:paraId="08CDAC8F" w14:textId="77777777" w:rsidR="00D720AF" w:rsidRDefault="00D720AF" w:rsidP="00D720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27" w:lineRule="auto"/>
        <w:ind w:left="113" w:right="1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concerns that cannot be addressed by your </w:t>
      </w:r>
      <w:proofErr w:type="gramStart"/>
      <w:r>
        <w:rPr>
          <w:color w:val="000000"/>
          <w:sz w:val="24"/>
          <w:szCs w:val="24"/>
        </w:rPr>
        <w:t>teacher</w:t>
      </w:r>
      <w:proofErr w:type="gramEnd"/>
      <w:r>
        <w:rPr>
          <w:color w:val="000000"/>
          <w:sz w:val="24"/>
          <w:szCs w:val="24"/>
        </w:rPr>
        <w:t xml:space="preserve"> please contact Delta Access – </w:t>
      </w:r>
      <w:r>
        <w:rPr>
          <w:color w:val="294A70"/>
          <w:sz w:val="24"/>
          <w:szCs w:val="24"/>
          <w:highlight w:val="white"/>
          <w:u w:val="single"/>
        </w:rPr>
        <w:t xml:space="preserve">btereposky@deltaschools.ca </w:t>
      </w:r>
      <w:r>
        <w:rPr>
          <w:color w:val="000000"/>
          <w:sz w:val="24"/>
          <w:szCs w:val="24"/>
        </w:rPr>
        <w:t>or call 604-599-6398.</w:t>
      </w:r>
    </w:p>
    <w:p w14:paraId="5561A55E" w14:textId="77777777" w:rsidR="00A1528D" w:rsidRDefault="00A1528D" w:rsidP="00A1528D">
      <w:pPr>
        <w:widowControl w:val="0"/>
        <w:spacing w:line="240" w:lineRule="auto"/>
        <w:ind w:left="135"/>
        <w:rPr>
          <w:b/>
          <w:sz w:val="24"/>
          <w:szCs w:val="24"/>
        </w:rPr>
      </w:pPr>
    </w:p>
    <w:p w14:paraId="1E11E290" w14:textId="77777777" w:rsidR="00000000" w:rsidRDefault="00000000"/>
    <w:sectPr w:rsidR="007013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67463"/>
    <w:multiLevelType w:val="hybridMultilevel"/>
    <w:tmpl w:val="9E6C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9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8D"/>
    <w:rsid w:val="000777A4"/>
    <w:rsid w:val="0012743C"/>
    <w:rsid w:val="001B676B"/>
    <w:rsid w:val="001E7C60"/>
    <w:rsid w:val="002A5AFE"/>
    <w:rsid w:val="002B59C8"/>
    <w:rsid w:val="002D2094"/>
    <w:rsid w:val="00473841"/>
    <w:rsid w:val="00530CA0"/>
    <w:rsid w:val="00652909"/>
    <w:rsid w:val="006625E7"/>
    <w:rsid w:val="00677D92"/>
    <w:rsid w:val="006B7C55"/>
    <w:rsid w:val="007715C6"/>
    <w:rsid w:val="007C0ED6"/>
    <w:rsid w:val="007E40B8"/>
    <w:rsid w:val="007F06CF"/>
    <w:rsid w:val="0092073E"/>
    <w:rsid w:val="00A12D25"/>
    <w:rsid w:val="00A1528D"/>
    <w:rsid w:val="00A44354"/>
    <w:rsid w:val="00AB6ECB"/>
    <w:rsid w:val="00B44C53"/>
    <w:rsid w:val="00BA1C4A"/>
    <w:rsid w:val="00C171E7"/>
    <w:rsid w:val="00C1730C"/>
    <w:rsid w:val="00C83C52"/>
    <w:rsid w:val="00D1586D"/>
    <w:rsid w:val="00D720AF"/>
    <w:rsid w:val="00E15F73"/>
    <w:rsid w:val="00E8414F"/>
    <w:rsid w:val="00E90F6F"/>
    <w:rsid w:val="00FB002F"/>
    <w:rsid w:val="00F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6835"/>
  <w15:chartTrackingRefBased/>
  <w15:docId w15:val="{3500359F-0D44-4724-9D05-096169E4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8D"/>
    <w:pPr>
      <w:spacing w:after="0" w:line="276" w:lineRule="auto"/>
    </w:pPr>
    <w:rPr>
      <w:rFonts w:ascii="Arial" w:eastAsia="Arial" w:hAnsi="Arial" w:cs="Arial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28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2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52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1528D"/>
    <w:rPr>
      <w:rFonts w:ascii="Arial" w:eastAsia="Arial" w:hAnsi="Arial" w:cs="Arial"/>
      <w:b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A1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taaccess.ca/plagiaris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1015077961?share=cop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iculum.gov.bc.ca/sites/curriculum.gov.bc.ca/files/curriculum/languages/en_languages_11_punjabi-introductory_elab.pdf" TargetMode="External"/><Relationship Id="rId11" Type="http://schemas.openxmlformats.org/officeDocument/2006/relationships/hyperlink" Target="mailto:asull@deltaschools.c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wl.purdue.edu/owl/avoiding_plagiaris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tereposky@deltaschool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School District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Sull</dc:creator>
  <cp:keywords/>
  <dc:description/>
  <cp:lastModifiedBy>Bill Tereposky</cp:lastModifiedBy>
  <cp:revision>3</cp:revision>
  <dcterms:created xsi:type="dcterms:W3CDTF">2025-02-28T17:24:00Z</dcterms:created>
  <dcterms:modified xsi:type="dcterms:W3CDTF">2025-02-28T17:25:00Z</dcterms:modified>
</cp:coreProperties>
</file>